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54" w:rsidRDefault="00612D54" w:rsidP="00612D54">
      <w:pPr>
        <w:pStyle w:val="ConsPlusNormal"/>
        <w:jc w:val="right"/>
        <w:outlineLvl w:val="0"/>
      </w:pPr>
      <w:r>
        <w:t>Приложение N 1</w:t>
      </w:r>
    </w:p>
    <w:p w:rsidR="00612D54" w:rsidRDefault="00612D54" w:rsidP="00612D54">
      <w:pPr>
        <w:pStyle w:val="ConsPlusNormal"/>
        <w:jc w:val="right"/>
      </w:pPr>
      <w:r>
        <w:t>к Закону Амурской области</w:t>
      </w:r>
    </w:p>
    <w:p w:rsidR="00612D54" w:rsidRDefault="00612D54" w:rsidP="00612D54">
      <w:pPr>
        <w:pStyle w:val="ConsPlusNormal"/>
        <w:jc w:val="right"/>
      </w:pPr>
      <w:r>
        <w:t>от 5 декабря 2005 г. N 99-ОЗ</w:t>
      </w:r>
    </w:p>
    <w:p w:rsidR="00612D54" w:rsidRDefault="00612D54" w:rsidP="00612D54">
      <w:pPr>
        <w:pStyle w:val="ConsPlusNormal"/>
        <w:jc w:val="right"/>
      </w:pPr>
    </w:p>
    <w:p w:rsidR="00612D54" w:rsidRDefault="00612D54" w:rsidP="00612D54">
      <w:pPr>
        <w:pStyle w:val="ConsPlusTitle"/>
        <w:jc w:val="center"/>
      </w:pPr>
      <w:bookmarkStart w:id="0" w:name="Par289"/>
      <w:bookmarkEnd w:id="0"/>
      <w:r>
        <w:t>РАЗМЕР СОЦИАЛЬНОЙ ПОДДЕРЖКИ ПО ОПЛАТЕ ЖИЛОГО ПОМЕЩЕНИЯ</w:t>
      </w:r>
    </w:p>
    <w:p w:rsidR="00612D54" w:rsidRDefault="00612D54" w:rsidP="00612D54">
      <w:pPr>
        <w:pStyle w:val="ConsPlusTitle"/>
        <w:jc w:val="center"/>
      </w:pPr>
      <w:r>
        <w:t>И КОММУНАЛЬНЫХ УСЛУГ</w:t>
      </w:r>
    </w:p>
    <w:p w:rsidR="00612D54" w:rsidRDefault="00612D54" w:rsidP="00612D54">
      <w:pPr>
        <w:pStyle w:val="ConsPlusNormal"/>
      </w:pPr>
    </w:p>
    <w:p w:rsidR="00612D54" w:rsidRDefault="00612D54" w:rsidP="00F80529">
      <w:pPr>
        <w:pStyle w:val="ConsPlusNormal"/>
        <w:jc w:val="center"/>
        <w:rPr/>
      </w:pPr>
      <w:r>
        <w:rPr/>
        <w:t xml:space="preserve">(в ред. Законов Амурской области от 07.06.2016 N 690-ОЗ, от 05.10.2018 N 247-ОЗ, от 07.11.2018 N 263-ОЗ, от 04.12.2018 N 287-ОЗ, </w:t>
      </w:r>
      <w:proofErr w:type="gramStart"/>
      <w:r>
        <w:rPr/>
        <w:t>от</w:t>
      </w:r>
      <w:proofErr w:type="gramEnd"/>
      <w:r>
        <w:rPr/>
        <w:t xml:space="preserve"> 17.12.2018 N 299-ОЗ)</w:t>
      </w:r>
    </w:p>
    <w:p w:rsidR="00612D54" w:rsidRDefault="00612D54" w:rsidP="00612D54">
      <w:pPr>
        <w:pStyle w:val="ConsPlusNormal"/>
        <w:jc w:val="center"/>
      </w:pPr>
    </w:p>
    <w:tbl>
      <w:tblPr>
        <w:tblW w:w="5000" w:type="pct"/>
        <w:tblCellMar>
          <w:top w:w="102" w:type="dxa"/>
          <w:left w:w="62" w:type="dxa"/>
          <w:bottom w:w="102" w:type="dxa"/>
          <w:right w:w="62" w:type="dxa"/>
        </w:tblCellMar>
        <w:tblLook w:val="0000" w:firstRow="0" w:lastRow="0" w:firstColumn="0" w:lastColumn="0" w:noHBand="0" w:noVBand="0"/>
      </w:tblPr>
      <w:tblGrid>
        <w:gridCol w:w="504"/>
        <w:gridCol w:w="4035"/>
        <w:gridCol w:w="6051"/>
      </w:tblGrid>
      <w:tr w:rsidR="00612D54" w:rsidRPr="00612D54" w:rsidTr="00612D54">
        <w:tc>
          <w:tcPr>
            <w:tcW w:w="238" w:type="pct"/>
            <w:tcBorders>
              <w:top w:val="single" w:sz="4" w:space="0" w:color="auto"/>
              <w:left w:val="single" w:sz="4" w:space="0" w:color="auto"/>
              <w:bottom w:val="single" w:sz="4" w:space="0" w:color="auto"/>
              <w:right w:val="single" w:sz="4" w:space="0" w:color="auto"/>
            </w:tcBorders>
          </w:tcPr>
          <w:p w:rsidR="00612D54" w:rsidRPr="00612D54" w:rsidRDefault="00612D54" w:rsidP="00F80529">
            <w:pPr>
              <w:pStyle w:val="ConsPlusNormal"/>
              <w:jc w:val="center"/>
              <w:rPr>
                <w:sz w:val="20"/>
                <w:szCs w:val="20"/>
              </w:rPr>
            </w:pPr>
            <w:r w:rsidRPr="00612D54">
              <w:rPr>
                <w:sz w:val="20"/>
                <w:szCs w:val="20"/>
              </w:rPr>
              <w:t xml:space="preserve">N </w:t>
            </w:r>
            <w:proofErr w:type="gramStart"/>
            <w:r w:rsidRPr="00612D54">
              <w:rPr>
                <w:sz w:val="20"/>
                <w:szCs w:val="20"/>
              </w:rPr>
              <w:t>п</w:t>
            </w:r>
            <w:proofErr w:type="gramEnd"/>
            <w:r w:rsidRPr="00612D54">
              <w:rPr>
                <w:sz w:val="20"/>
                <w:szCs w:val="20"/>
              </w:rPr>
              <w:t>/п</w:t>
            </w:r>
          </w:p>
        </w:tc>
        <w:tc>
          <w:tcPr>
            <w:tcW w:w="1905" w:type="pct"/>
            <w:tcBorders>
              <w:top w:val="single" w:sz="4" w:space="0" w:color="auto"/>
              <w:left w:val="single" w:sz="4" w:space="0" w:color="auto"/>
              <w:bottom w:val="single" w:sz="4" w:space="0" w:color="auto"/>
              <w:right w:val="single" w:sz="4" w:space="0" w:color="auto"/>
            </w:tcBorders>
          </w:tcPr>
          <w:p w:rsidR="00612D54" w:rsidRPr="00612D54" w:rsidRDefault="00612D54" w:rsidP="00F80529">
            <w:pPr>
              <w:pStyle w:val="ConsPlusNormal"/>
              <w:jc w:val="center"/>
              <w:rPr>
                <w:sz w:val="20"/>
                <w:szCs w:val="20"/>
              </w:rPr>
            </w:pPr>
            <w:r w:rsidRPr="00612D54">
              <w:rPr>
                <w:sz w:val="20"/>
                <w:szCs w:val="20"/>
              </w:rPr>
              <w:t>Категории граждан, имеющих право на социальную поддержку по оплате жилого помещения и коммунальных услуг</w:t>
            </w:r>
          </w:p>
        </w:tc>
        <w:tc>
          <w:tcPr>
            <w:tcW w:w="2857" w:type="pct"/>
            <w:tcBorders>
              <w:top w:val="single" w:sz="4" w:space="0" w:color="auto"/>
              <w:left w:val="single" w:sz="4" w:space="0" w:color="auto"/>
              <w:bottom w:val="single" w:sz="4" w:space="0" w:color="auto"/>
              <w:right w:val="single" w:sz="4" w:space="0" w:color="auto"/>
            </w:tcBorders>
          </w:tcPr>
          <w:p w:rsidR="00612D54" w:rsidRPr="00612D54" w:rsidRDefault="00612D54" w:rsidP="00F80529">
            <w:pPr>
              <w:pStyle w:val="ConsPlusNormal"/>
              <w:jc w:val="center"/>
              <w:rPr>
                <w:sz w:val="20"/>
                <w:szCs w:val="20"/>
              </w:rPr>
            </w:pPr>
            <w:r w:rsidRPr="00612D54">
              <w:rPr>
                <w:sz w:val="20"/>
                <w:szCs w:val="20"/>
              </w:rPr>
              <w:t>Размер социальной поддержки по оплате жилого помещения и коммунальных услуг</w:t>
            </w:r>
          </w:p>
        </w:tc>
      </w:tr>
      <w:tr w:rsidR="00612D54" w:rsidRPr="00612D54" w:rsidTr="00612D54">
        <w:tc>
          <w:tcPr>
            <w:tcW w:w="238" w:type="pct"/>
            <w:tcBorders>
              <w:top w:val="single" w:sz="4" w:space="0" w:color="auto"/>
              <w:left w:val="single" w:sz="4" w:space="0" w:color="auto"/>
              <w:bottom w:val="single" w:sz="4" w:space="0" w:color="auto"/>
              <w:right w:val="single" w:sz="4" w:space="0" w:color="auto"/>
            </w:tcBorders>
          </w:tcPr>
          <w:p w:rsidR="00612D54" w:rsidRPr="00612D54" w:rsidRDefault="00612D54" w:rsidP="00F80529">
            <w:pPr>
              <w:pStyle w:val="ConsPlusNormal"/>
              <w:jc w:val="center"/>
              <w:rPr>
                <w:sz w:val="20"/>
                <w:szCs w:val="20"/>
              </w:rPr>
            </w:pPr>
            <w:r w:rsidRPr="00612D54">
              <w:rPr>
                <w:sz w:val="20"/>
                <w:szCs w:val="20"/>
              </w:rPr>
              <w:t>1</w:t>
            </w:r>
          </w:p>
        </w:tc>
        <w:tc>
          <w:tcPr>
            <w:tcW w:w="1905" w:type="pct"/>
            <w:tcBorders>
              <w:top w:val="single" w:sz="4" w:space="0" w:color="auto"/>
              <w:left w:val="single" w:sz="4" w:space="0" w:color="auto"/>
              <w:bottom w:val="single" w:sz="4" w:space="0" w:color="auto"/>
              <w:right w:val="single" w:sz="4" w:space="0" w:color="auto"/>
            </w:tcBorders>
          </w:tcPr>
          <w:p w:rsidR="00612D54" w:rsidRPr="00612D54" w:rsidRDefault="00612D54" w:rsidP="00F80529">
            <w:pPr>
              <w:pStyle w:val="ConsPlusNormal"/>
              <w:jc w:val="center"/>
              <w:rPr>
                <w:sz w:val="20"/>
                <w:szCs w:val="20"/>
              </w:rPr>
            </w:pPr>
            <w:r w:rsidRPr="00612D54">
              <w:rPr>
                <w:sz w:val="20"/>
                <w:szCs w:val="20"/>
              </w:rPr>
              <w:t>2</w:t>
            </w:r>
          </w:p>
        </w:tc>
        <w:tc>
          <w:tcPr>
            <w:tcW w:w="2857" w:type="pct"/>
            <w:tcBorders>
              <w:top w:val="single" w:sz="4" w:space="0" w:color="auto"/>
              <w:left w:val="single" w:sz="4" w:space="0" w:color="auto"/>
              <w:bottom w:val="single" w:sz="4" w:space="0" w:color="auto"/>
              <w:right w:val="single" w:sz="4" w:space="0" w:color="auto"/>
            </w:tcBorders>
          </w:tcPr>
          <w:p w:rsidR="00612D54" w:rsidRPr="00612D54" w:rsidRDefault="00612D54" w:rsidP="00F80529">
            <w:pPr>
              <w:pStyle w:val="ConsPlusNormal"/>
              <w:jc w:val="center"/>
              <w:rPr>
                <w:sz w:val="20"/>
                <w:szCs w:val="20"/>
              </w:rPr>
            </w:pPr>
            <w:r w:rsidRPr="00612D54">
              <w:rPr>
                <w:sz w:val="20"/>
                <w:szCs w:val="20"/>
              </w:rPr>
              <w:t>3</w:t>
            </w:r>
          </w:p>
        </w:tc>
      </w:tr>
      <w:tr w:rsidR="00612D54" w:rsidRPr="00612D54" w:rsidTr="00612D54">
        <w:tc>
          <w:tcPr>
            <w:tcW w:w="238"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1.</w:t>
            </w:r>
          </w:p>
        </w:tc>
        <w:tc>
          <w:tcPr>
            <w:tcW w:w="1905"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 xml:space="preserve">Медицинские работники (указанные в </w:t>
            </w:r>
            <w:r w:rsidRPr="00612D54">
              <w:rPr>
                <w:sz w:val="20"/>
                <w:szCs w:val="20"/>
              </w:rPr>
              <w:t>подпункте "а" пункта 9 части 1 статьи 1</w:t>
            </w:r>
            <w:r w:rsidRPr="00612D54">
              <w:rPr>
                <w:sz w:val="20"/>
                <w:szCs w:val="20"/>
              </w:rPr>
              <w:t xml:space="preserve"> настоящего Закона), работники физкультурно-спортивных организаций (указанные в </w:t>
            </w:r>
            <w:r w:rsidRPr="00612D54">
              <w:rPr>
                <w:sz w:val="20"/>
                <w:szCs w:val="20"/>
              </w:rPr>
              <w:t>подпункте "д" пункта 9 части 1 статьи 1</w:t>
            </w:r>
            <w:r w:rsidRPr="00612D54">
              <w:rPr>
                <w:sz w:val="20"/>
                <w:szCs w:val="20"/>
              </w:rPr>
              <w:t xml:space="preserve"> настоящего Закона), педагогические работники образовательных организаций, организаций социального обслуживания (указанные в </w:t>
            </w:r>
            <w:r w:rsidRPr="00612D54">
              <w:rPr>
                <w:sz w:val="20"/>
                <w:szCs w:val="20"/>
              </w:rPr>
              <w:t>пункте 10 части 1 статьи 1</w:t>
            </w:r>
            <w:r w:rsidRPr="00612D54">
              <w:rPr>
                <w:sz w:val="20"/>
                <w:szCs w:val="20"/>
              </w:rPr>
              <w:t xml:space="preserve"> настоящего Закона)</w:t>
            </w:r>
          </w:p>
        </w:tc>
        <w:tc>
          <w:tcPr>
            <w:tcW w:w="2857"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100% платы за наем жилого помещения (занимаемого по договору социального найма или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100%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100% платы за освещение, рассчитанной исходя из расхода электроэнергии на освещение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 xml:space="preserve">100% платы за отопление, рассчитанной исходя из объема потребляемой коммунальной услуги, определенного по показаниям приборов учета. </w:t>
            </w:r>
            <w:proofErr w:type="gramStart"/>
            <w:r w:rsidRPr="00612D54">
              <w:rPr>
                <w:sz w:val="20"/>
                <w:szCs w:val="20"/>
              </w:rPr>
              <w:t>При отсутствии указанных приборов учета плата за отопление рассчитывается исходя из нормативов потребления указанной коммунальной услуги в пределах занимаемой общей площади жилого помещения;</w:t>
            </w:r>
            <w:proofErr w:type="gramEnd"/>
          </w:p>
          <w:p w:rsidR="00612D54" w:rsidRPr="00612D54" w:rsidRDefault="00612D54" w:rsidP="00F80529">
            <w:pPr>
              <w:pStyle w:val="ConsPlusNormal"/>
              <w:rPr>
                <w:sz w:val="20"/>
                <w:szCs w:val="20"/>
              </w:rPr>
            </w:pPr>
            <w:r w:rsidRPr="00612D54">
              <w:rPr>
                <w:sz w:val="20"/>
                <w:szCs w:val="20"/>
              </w:rPr>
              <w:t>100% платы за твердое топливо (при наличии печного отопления), рассчитанной исходя из нормативов потребления коммунальных услуг для предоставления мер социальной поддержки и в пределах занимаемой общей площади жилого помещения</w:t>
            </w:r>
          </w:p>
        </w:tc>
      </w:tr>
      <w:tr w:rsidR="00612D54" w:rsidRPr="00612D54" w:rsidTr="00612D54">
        <w:tc>
          <w:tcPr>
            <w:tcW w:w="5000" w:type="pct"/>
            <w:gridSpan w:val="3"/>
            <w:tcBorders>
              <w:left w:val="single" w:sz="4" w:space="0" w:color="auto"/>
              <w:bottom w:val="single" w:sz="4" w:space="0" w:color="auto"/>
              <w:right w:val="single" w:sz="4" w:space="0" w:color="auto"/>
            </w:tcBorders>
          </w:tcPr>
          <w:p w:rsidR="00612D54" w:rsidRPr="00612D54" w:rsidRDefault="00612D54" w:rsidP="00F80529">
            <w:pPr>
              <w:pStyle w:val="ConsPlusNormal"/>
              <w:jc w:val="both"/>
              <w:rPr>
                <w:sz w:val="20"/>
                <w:szCs w:val="20"/>
              </w:rPr>
            </w:pPr>
            <w:r w:rsidRPr="00612D54">
              <w:rPr>
                <w:sz w:val="20"/>
                <w:szCs w:val="20"/>
              </w:rPr>
              <w:t>(в ред. Законов Амурской области от 04.12.2018 N 287-ОЗ, от 17.12.2018 N 299-ОЗ)</w:t>
            </w:r>
          </w:p>
        </w:tc>
      </w:tr>
      <w:tr w:rsidR="00612D54" w:rsidRPr="00612D54" w:rsidTr="00612D54">
        <w:tc>
          <w:tcPr>
            <w:tcW w:w="238"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2.</w:t>
            </w:r>
          </w:p>
        </w:tc>
        <w:tc>
          <w:tcPr>
            <w:tcW w:w="1905"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 xml:space="preserve">Пенсионеры на селе из числа медицинских работников, указанных в </w:t>
            </w:r>
            <w:r w:rsidRPr="00612D54">
              <w:rPr>
                <w:sz w:val="20"/>
                <w:szCs w:val="20"/>
              </w:rPr>
              <w:t>подпункте "а" пункта 9 части 1 статьи 1</w:t>
            </w:r>
            <w:r w:rsidRPr="00612D54">
              <w:rPr>
                <w:sz w:val="20"/>
                <w:szCs w:val="20"/>
              </w:rPr>
              <w:t xml:space="preserve"> настоящего Закона</w:t>
            </w:r>
          </w:p>
        </w:tc>
        <w:tc>
          <w:tcPr>
            <w:tcW w:w="2857"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100% платы за наем жилого помещения (занимаемого по договору социального найма или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 xml:space="preserve">100% платы за содержание жилого помещения, включающей в себя </w:t>
            </w:r>
            <w:r w:rsidRPr="00612D54">
              <w:rPr>
                <w:sz w:val="20"/>
                <w:szCs w:val="20"/>
              </w:rPr>
              <w:lastRenderedPageBreak/>
              <w:t>плату за услуги, работы по управлению многоквартирным домом, за содержание и текущий ремонт общего имущества в многоквартирном доме,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100% платы за освещение, рассчитанной исходя из расхода электроэнергии на освещение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100% платы за отопление, рассчитанной исходя из объема потребляемой коммунальной услуги, определенного по показаниям приборов учета. При отсутствии указанных приборов учета плата за отопление рассчитывается исходя из нормативов потребления указанной коммунальной услуги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100% платы за твердое топливо (при наличии печного отопления), рассчитанной исходя из нормативов потребления коммунальных услуг для предоставления мер социальной поддержки и в пределах занимаемой общей площади жилого помещения</w:t>
            </w:r>
          </w:p>
        </w:tc>
      </w:tr>
      <w:tr w:rsidR="00612D54" w:rsidRPr="00612D54" w:rsidTr="00612D54">
        <w:tc>
          <w:tcPr>
            <w:tcW w:w="5000" w:type="pct"/>
            <w:gridSpan w:val="3"/>
            <w:tcBorders>
              <w:left w:val="single" w:sz="4" w:space="0" w:color="auto"/>
              <w:bottom w:val="single" w:sz="4" w:space="0" w:color="auto"/>
              <w:right w:val="single" w:sz="4" w:space="0" w:color="auto"/>
            </w:tcBorders>
          </w:tcPr>
          <w:p w:rsidR="00612D54" w:rsidRPr="00612D54" w:rsidRDefault="00612D54" w:rsidP="00F80529">
            <w:pPr>
              <w:pStyle w:val="ConsPlusNormal"/>
              <w:jc w:val="both"/>
              <w:rPr>
                <w:sz w:val="20"/>
                <w:szCs w:val="20"/>
              </w:rPr>
            </w:pPr>
            <w:r w:rsidRPr="00612D54">
              <w:rPr>
                <w:sz w:val="20"/>
                <w:szCs w:val="20"/>
              </w:rPr>
              <w:lastRenderedPageBreak/>
              <w:t>(в ред. Закона Амурской области от 17.12.2018 N 299-ОЗ)</w:t>
            </w:r>
          </w:p>
        </w:tc>
      </w:tr>
      <w:tr w:rsidR="00612D54" w:rsidRPr="00612D54" w:rsidTr="00612D54">
        <w:tc>
          <w:tcPr>
            <w:tcW w:w="238"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3.</w:t>
            </w:r>
          </w:p>
        </w:tc>
        <w:tc>
          <w:tcPr>
            <w:tcW w:w="1905"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 xml:space="preserve">Пенсионеры на селе из числа работников физкультурно-спортивных организаций, указанных в </w:t>
            </w:r>
            <w:r w:rsidRPr="00612D54">
              <w:rPr>
                <w:sz w:val="20"/>
                <w:szCs w:val="20"/>
              </w:rPr>
              <w:t>подпункте "д" пункта 9 части 1 статьи 1</w:t>
            </w:r>
            <w:r w:rsidRPr="00612D54">
              <w:rPr>
                <w:sz w:val="20"/>
                <w:szCs w:val="20"/>
              </w:rPr>
              <w:t xml:space="preserve"> настоящего Закона, педагогических работников, указанных в </w:t>
            </w:r>
            <w:r w:rsidRPr="00612D54">
              <w:rPr>
                <w:sz w:val="20"/>
                <w:szCs w:val="20"/>
              </w:rPr>
              <w:t>пункте 10 части 1 статьи 1</w:t>
            </w:r>
            <w:r w:rsidRPr="00612D54">
              <w:rPr>
                <w:sz w:val="20"/>
                <w:szCs w:val="20"/>
              </w:rPr>
              <w:t xml:space="preserve"> настоящего Закона</w:t>
            </w:r>
            <w:bookmarkStart w:id="1" w:name="_GoBack"/>
            <w:bookmarkEnd w:id="1"/>
          </w:p>
        </w:tc>
        <w:tc>
          <w:tcPr>
            <w:tcW w:w="2857"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100% платы за наем жилого помещения (занимаемого по договору социального найма или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100%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100% платы за освещение, рассчитанной исходя из расхода электроэнергии на освещение в пределах занимаемой общей площади жилого помещения;</w:t>
            </w:r>
          </w:p>
          <w:p w:rsidR="00612D54" w:rsidRPr="00612D54" w:rsidRDefault="00612D54" w:rsidP="00F80529">
            <w:pPr>
              <w:pStyle w:val="ConsPlusNormal"/>
              <w:rPr>
                <w:sz w:val="20"/>
                <w:szCs w:val="20"/>
              </w:rPr>
            </w:pPr>
            <w:r w:rsidRPr="00612D54">
              <w:rPr>
                <w:sz w:val="20"/>
                <w:szCs w:val="20"/>
              </w:rPr>
              <w:t xml:space="preserve">100% платы за отопление, рассчитанной исходя из объема потребляемой коммунальной услуги, определенного по показаниям приборов учета. </w:t>
            </w:r>
            <w:proofErr w:type="gramStart"/>
            <w:r w:rsidRPr="00612D54">
              <w:rPr>
                <w:sz w:val="20"/>
                <w:szCs w:val="20"/>
              </w:rPr>
              <w:t>При отсутствии указанных приборов учета плата за отопление рассчитывается исходя из нормативов потребления указанной коммунальной услуги в пределах занимаемой общей площади жилого помещения;</w:t>
            </w:r>
            <w:proofErr w:type="gramEnd"/>
          </w:p>
          <w:p w:rsidR="00612D54" w:rsidRPr="00612D54" w:rsidRDefault="00612D54" w:rsidP="00F80529">
            <w:pPr>
              <w:pStyle w:val="ConsPlusNormal"/>
              <w:rPr>
                <w:sz w:val="20"/>
                <w:szCs w:val="20"/>
              </w:rPr>
            </w:pPr>
            <w:r w:rsidRPr="00612D54">
              <w:rPr>
                <w:sz w:val="20"/>
                <w:szCs w:val="20"/>
              </w:rPr>
              <w:t>100% платы за твердое топливо (при наличии печного отопления), рассчитанной исходя из нормативов потребления коммунальных услуг для предоставления мер социальной поддержки и в пределах занимаемой общей площади жилого помещения</w:t>
            </w:r>
          </w:p>
        </w:tc>
      </w:tr>
      <w:tr w:rsidR="00612D54" w:rsidRPr="00612D54" w:rsidTr="00612D54">
        <w:tc>
          <w:tcPr>
            <w:tcW w:w="5000" w:type="pct"/>
            <w:gridSpan w:val="3"/>
            <w:tcBorders>
              <w:left w:val="single" w:sz="4" w:space="0" w:color="auto"/>
              <w:bottom w:val="single" w:sz="4" w:space="0" w:color="auto"/>
              <w:right w:val="single" w:sz="4" w:space="0" w:color="auto"/>
            </w:tcBorders>
          </w:tcPr>
          <w:p w:rsidR="00612D54" w:rsidRPr="00612D54" w:rsidRDefault="00612D54" w:rsidP="00F80529">
            <w:pPr>
              <w:pStyle w:val="ConsPlusNormal"/>
              <w:jc w:val="both"/>
              <w:rPr>
                <w:sz w:val="20"/>
                <w:szCs w:val="20"/>
              </w:rPr>
            </w:pPr>
            <w:r w:rsidRPr="00612D54">
              <w:rPr>
                <w:sz w:val="20"/>
                <w:szCs w:val="20"/>
              </w:rPr>
              <w:t>(в ред. Законов Амурской области от 04.12.2018 N 287-ОЗ, от 17.12.2018 N 299-ОЗ)</w:t>
            </w:r>
          </w:p>
        </w:tc>
      </w:tr>
      <w:tr w:rsidR="00612D54" w:rsidRPr="00612D54" w:rsidTr="00612D54">
        <w:tc>
          <w:tcPr>
            <w:tcW w:w="238"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4.</w:t>
            </w:r>
          </w:p>
        </w:tc>
        <w:tc>
          <w:tcPr>
            <w:tcW w:w="1905"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proofErr w:type="gramStart"/>
            <w:r w:rsidRPr="00612D54">
              <w:rPr>
                <w:sz w:val="20"/>
                <w:szCs w:val="20"/>
              </w:rPr>
              <w:t>Специалисты государственных и муниципальных учреждений, организаций, финансируемых за счет средств областного и местных бюджетов, проживающие и работающие в сельской местности, поселках городского типа (рабочих поселках):</w:t>
            </w:r>
            <w:proofErr w:type="gramEnd"/>
          </w:p>
          <w:p w:rsidR="00612D54" w:rsidRPr="00612D54" w:rsidRDefault="00612D54" w:rsidP="00F80529">
            <w:pPr>
              <w:pStyle w:val="ConsPlusNormal"/>
              <w:rPr>
                <w:sz w:val="20"/>
                <w:szCs w:val="20"/>
              </w:rPr>
            </w:pPr>
            <w:r w:rsidRPr="00612D54">
              <w:rPr>
                <w:sz w:val="20"/>
                <w:szCs w:val="20"/>
              </w:rPr>
              <w:t>ветеринарные врачи и фельдшеры;</w:t>
            </w:r>
          </w:p>
          <w:p w:rsidR="00612D54" w:rsidRPr="00612D54" w:rsidRDefault="00612D54" w:rsidP="00F80529">
            <w:pPr>
              <w:pStyle w:val="ConsPlusNormal"/>
              <w:rPr>
                <w:sz w:val="20"/>
                <w:szCs w:val="20"/>
              </w:rPr>
            </w:pPr>
            <w:r w:rsidRPr="00612D54">
              <w:rPr>
                <w:sz w:val="20"/>
                <w:szCs w:val="20"/>
              </w:rPr>
              <w:lastRenderedPageBreak/>
              <w:t>социальные работники организаций социального обслуживания;</w:t>
            </w:r>
          </w:p>
          <w:p w:rsidR="00612D54" w:rsidRPr="00612D54" w:rsidRDefault="00612D54" w:rsidP="00F80529">
            <w:pPr>
              <w:pStyle w:val="ConsPlusNormal"/>
              <w:rPr>
                <w:sz w:val="20"/>
                <w:szCs w:val="20"/>
              </w:rPr>
            </w:pPr>
            <w:r w:rsidRPr="00612D54">
              <w:rPr>
                <w:sz w:val="20"/>
                <w:szCs w:val="20"/>
              </w:rPr>
              <w:t>руководители и специалисты учреждений культуры, заведующие библиотеками и библиотекари образовательных организаций, организаций для детей-сирот и детей, оставшихся без попечения родителей</w:t>
            </w:r>
          </w:p>
        </w:tc>
        <w:tc>
          <w:tcPr>
            <w:tcW w:w="2857"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lastRenderedPageBreak/>
              <w:t>1200 рублей</w:t>
            </w:r>
          </w:p>
        </w:tc>
      </w:tr>
      <w:tr w:rsidR="00612D54" w:rsidRPr="00612D54" w:rsidTr="00612D54">
        <w:tc>
          <w:tcPr>
            <w:tcW w:w="5000" w:type="pct"/>
            <w:gridSpan w:val="3"/>
            <w:tcBorders>
              <w:left w:val="single" w:sz="4" w:space="0" w:color="auto"/>
              <w:bottom w:val="single" w:sz="4" w:space="0" w:color="auto"/>
              <w:right w:val="single" w:sz="4" w:space="0" w:color="auto"/>
            </w:tcBorders>
          </w:tcPr>
          <w:p w:rsidR="00612D54" w:rsidRPr="00612D54" w:rsidRDefault="00612D54" w:rsidP="00F80529">
            <w:pPr>
              <w:pStyle w:val="ConsPlusNormal"/>
              <w:jc w:val="both"/>
              <w:rPr>
                <w:sz w:val="20"/>
                <w:szCs w:val="20"/>
              </w:rPr>
            </w:pPr>
            <w:r w:rsidRPr="00612D54">
              <w:rPr>
                <w:sz w:val="20"/>
                <w:szCs w:val="20"/>
              </w:rPr>
              <w:lastRenderedPageBreak/>
              <w:t>(в ред. Закона Амурской области от 05.10.2018 N 247-ОЗ)</w:t>
            </w:r>
          </w:p>
        </w:tc>
      </w:tr>
      <w:tr w:rsidR="00612D54" w:rsidRPr="00612D54" w:rsidTr="00612D54">
        <w:tc>
          <w:tcPr>
            <w:tcW w:w="238"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5.</w:t>
            </w:r>
          </w:p>
        </w:tc>
        <w:tc>
          <w:tcPr>
            <w:tcW w:w="1905"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 xml:space="preserve">Пенсионеры на селе из числа работников ветеринарных служб, социальных работников, работников культуры, указанных в </w:t>
            </w:r>
            <w:r w:rsidRPr="00612D54">
              <w:rPr>
                <w:sz w:val="20"/>
                <w:szCs w:val="20"/>
              </w:rPr>
              <w:t>подпунктах "б"</w:t>
            </w:r>
            <w:r w:rsidRPr="00612D54">
              <w:rPr>
                <w:sz w:val="20"/>
                <w:szCs w:val="20"/>
              </w:rPr>
              <w:t xml:space="preserve"> - </w:t>
            </w:r>
            <w:r w:rsidRPr="00612D54">
              <w:rPr>
                <w:sz w:val="20"/>
                <w:szCs w:val="20"/>
              </w:rPr>
              <w:t>"г" пункта 9 части 1 статьи 1</w:t>
            </w:r>
            <w:r w:rsidRPr="00612D54">
              <w:rPr>
                <w:sz w:val="20"/>
                <w:szCs w:val="20"/>
              </w:rPr>
              <w:t xml:space="preserve"> настоящего Закона</w:t>
            </w:r>
          </w:p>
        </w:tc>
        <w:tc>
          <w:tcPr>
            <w:tcW w:w="2857"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1200 рублей</w:t>
            </w:r>
          </w:p>
        </w:tc>
      </w:tr>
      <w:tr w:rsidR="00612D54" w:rsidRPr="00612D54" w:rsidTr="00612D54">
        <w:tc>
          <w:tcPr>
            <w:tcW w:w="5000" w:type="pct"/>
            <w:gridSpan w:val="3"/>
            <w:tcBorders>
              <w:left w:val="single" w:sz="4" w:space="0" w:color="auto"/>
              <w:bottom w:val="single" w:sz="4" w:space="0" w:color="auto"/>
              <w:right w:val="single" w:sz="4" w:space="0" w:color="auto"/>
            </w:tcBorders>
          </w:tcPr>
          <w:p w:rsidR="00612D54" w:rsidRPr="00612D54" w:rsidRDefault="00612D54" w:rsidP="00F80529">
            <w:pPr>
              <w:pStyle w:val="ConsPlusNormal"/>
              <w:jc w:val="both"/>
              <w:rPr>
                <w:sz w:val="20"/>
                <w:szCs w:val="20"/>
              </w:rPr>
            </w:pPr>
            <w:r w:rsidRPr="00612D54">
              <w:rPr>
                <w:sz w:val="20"/>
                <w:szCs w:val="20"/>
              </w:rPr>
              <w:t>(в ред. Закона Амурской области от 05.10.2018 N 247-ОЗ)</w:t>
            </w:r>
          </w:p>
        </w:tc>
      </w:tr>
      <w:tr w:rsidR="00612D54" w:rsidRPr="00612D54" w:rsidTr="00612D54">
        <w:tc>
          <w:tcPr>
            <w:tcW w:w="238"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6.</w:t>
            </w:r>
          </w:p>
        </w:tc>
        <w:tc>
          <w:tcPr>
            <w:tcW w:w="4762" w:type="pct"/>
            <w:gridSpan w:val="2"/>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Утратил силу с 1 января 2019 года. - Закон Амурской области от 05.10.2018 N 247-ОЗ</w:t>
            </w:r>
          </w:p>
        </w:tc>
      </w:tr>
      <w:tr w:rsidR="00612D54" w:rsidRPr="00612D54" w:rsidTr="00612D54">
        <w:tc>
          <w:tcPr>
            <w:tcW w:w="238"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7.</w:t>
            </w:r>
          </w:p>
        </w:tc>
        <w:tc>
          <w:tcPr>
            <w:tcW w:w="1905"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Ветераны труда, ветераны военной службы</w:t>
            </w:r>
          </w:p>
        </w:tc>
        <w:tc>
          <w:tcPr>
            <w:tcW w:w="2857"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50% платы за наем жилого помещения (занимаемого по договору социального найма или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в пределах регионального стандарта нормативной площади жилого помещения;</w:t>
            </w:r>
          </w:p>
          <w:p w:rsidR="00612D54" w:rsidRPr="00612D54" w:rsidRDefault="00612D54" w:rsidP="00F80529">
            <w:pPr>
              <w:pStyle w:val="ConsPlusNormal"/>
              <w:rPr>
                <w:sz w:val="20"/>
                <w:szCs w:val="20"/>
              </w:rPr>
            </w:pPr>
            <w:r w:rsidRPr="00612D54">
              <w:rPr>
                <w:sz w:val="20"/>
                <w:szCs w:val="20"/>
              </w:rPr>
              <w:t>50%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регионального стандарта нормативной площади жилого помещения;</w:t>
            </w:r>
          </w:p>
          <w:p w:rsidR="00612D54" w:rsidRPr="00612D54" w:rsidRDefault="00612D54" w:rsidP="00F80529">
            <w:pPr>
              <w:pStyle w:val="ConsPlusNormal"/>
              <w:rPr>
                <w:sz w:val="20"/>
                <w:szCs w:val="20"/>
              </w:rPr>
            </w:pPr>
            <w:r w:rsidRPr="00612D54">
              <w:rPr>
                <w:sz w:val="20"/>
                <w:szCs w:val="20"/>
              </w:rPr>
              <w:t>50%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пределах нормативов потребления коммунальных услуг для предоставления мер социальной поддержки;</w:t>
            </w:r>
          </w:p>
          <w:p w:rsidR="00612D54" w:rsidRPr="00612D54" w:rsidRDefault="00612D54" w:rsidP="00F80529">
            <w:pPr>
              <w:pStyle w:val="ConsPlusNormal"/>
              <w:rPr>
                <w:sz w:val="20"/>
                <w:szCs w:val="20"/>
              </w:rPr>
            </w:pPr>
            <w:r w:rsidRPr="00612D54">
              <w:rPr>
                <w:sz w:val="20"/>
                <w:szCs w:val="20"/>
              </w:rPr>
              <w:t>50%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 При отсутствии указанных приборов учета плата за коммунальные услуги рассчитывается исходя из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w:t>
            </w:r>
          </w:p>
          <w:p w:rsidR="00612D54" w:rsidRPr="00612D54" w:rsidRDefault="00612D54" w:rsidP="00F80529">
            <w:pPr>
              <w:pStyle w:val="ConsPlusNormal"/>
              <w:rPr>
                <w:sz w:val="20"/>
                <w:szCs w:val="20"/>
              </w:rPr>
            </w:pPr>
            <w:r w:rsidRPr="00612D54">
              <w:rPr>
                <w:sz w:val="20"/>
                <w:szCs w:val="20"/>
              </w:rPr>
              <w:t>50% платы за твердое топливо (при наличии печного отопления), рассчитанной исходя из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 и стоимости транспортных услуг для доставки этого топлива</w:t>
            </w:r>
          </w:p>
        </w:tc>
      </w:tr>
      <w:tr w:rsidR="00612D54" w:rsidRPr="00612D54" w:rsidTr="00612D54">
        <w:tc>
          <w:tcPr>
            <w:tcW w:w="5000" w:type="pct"/>
            <w:gridSpan w:val="3"/>
            <w:tcBorders>
              <w:left w:val="single" w:sz="4" w:space="0" w:color="auto"/>
              <w:bottom w:val="single" w:sz="4" w:space="0" w:color="auto"/>
              <w:right w:val="single" w:sz="4" w:space="0" w:color="auto"/>
            </w:tcBorders>
          </w:tcPr>
          <w:p w:rsidR="00612D54" w:rsidRPr="00612D54" w:rsidRDefault="00612D54" w:rsidP="00F80529">
            <w:pPr>
              <w:pStyle w:val="ConsPlusNormal"/>
              <w:jc w:val="both"/>
              <w:rPr>
                <w:sz w:val="20"/>
                <w:szCs w:val="20"/>
              </w:rPr>
            </w:pPr>
            <w:r w:rsidRPr="00612D54">
              <w:rPr>
                <w:sz w:val="20"/>
                <w:szCs w:val="20"/>
              </w:rPr>
              <w:t>(в ред. Закона Амурской области от 17.12.2018 N 299-ОЗ)</w:t>
            </w:r>
          </w:p>
        </w:tc>
      </w:tr>
      <w:tr w:rsidR="00612D54" w:rsidRPr="00612D54" w:rsidTr="00612D54">
        <w:tc>
          <w:tcPr>
            <w:tcW w:w="238"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lastRenderedPageBreak/>
              <w:t>8.</w:t>
            </w:r>
          </w:p>
        </w:tc>
        <w:tc>
          <w:tcPr>
            <w:tcW w:w="1905"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Реабилитированные лица и лица, признанные пострадавшими от политических репрессий, и проживающие совместно с ними члены их семей (супруги, родители, нетрудоспособные дети)</w:t>
            </w:r>
          </w:p>
        </w:tc>
        <w:tc>
          <w:tcPr>
            <w:tcW w:w="2857"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50% платы за наем жилого помещения (занимаемого по договору социального найма или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в пределах регионального стандарта нормативной площади жилого помещения;</w:t>
            </w:r>
          </w:p>
          <w:p w:rsidR="00612D54" w:rsidRPr="00612D54" w:rsidRDefault="00612D54" w:rsidP="00F80529">
            <w:pPr>
              <w:pStyle w:val="ConsPlusNormal"/>
              <w:rPr>
                <w:sz w:val="20"/>
                <w:szCs w:val="20"/>
              </w:rPr>
            </w:pPr>
            <w:r w:rsidRPr="00612D54">
              <w:rPr>
                <w:sz w:val="20"/>
                <w:szCs w:val="20"/>
              </w:rPr>
              <w:t>50%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регионального стандарта нормативной площади жилого помещения;</w:t>
            </w:r>
          </w:p>
          <w:p w:rsidR="00612D54" w:rsidRPr="00612D54" w:rsidRDefault="00612D54" w:rsidP="00F80529">
            <w:pPr>
              <w:pStyle w:val="ConsPlusNormal"/>
              <w:rPr>
                <w:sz w:val="20"/>
                <w:szCs w:val="20"/>
              </w:rPr>
            </w:pPr>
            <w:r w:rsidRPr="00612D54">
              <w:rPr>
                <w:sz w:val="20"/>
                <w:szCs w:val="20"/>
              </w:rPr>
              <w:t>50%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пределах нормативов потребления коммунальных услуг для предоставления мер социальной поддержки;</w:t>
            </w:r>
          </w:p>
          <w:p w:rsidR="00612D54" w:rsidRPr="00612D54" w:rsidRDefault="00612D54" w:rsidP="00F80529">
            <w:pPr>
              <w:pStyle w:val="ConsPlusNormal"/>
              <w:rPr>
                <w:sz w:val="20"/>
                <w:szCs w:val="20"/>
              </w:rPr>
            </w:pPr>
            <w:r w:rsidRPr="00612D54">
              <w:rPr>
                <w:sz w:val="20"/>
                <w:szCs w:val="20"/>
              </w:rPr>
              <w:t>50%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 При отсутствии указанных приборов учета плата за коммунальные услуги рассчитывается исходя из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w:t>
            </w:r>
          </w:p>
          <w:p w:rsidR="00612D54" w:rsidRPr="00612D54" w:rsidRDefault="00612D54" w:rsidP="00F80529">
            <w:pPr>
              <w:pStyle w:val="ConsPlusNormal"/>
              <w:rPr>
                <w:sz w:val="20"/>
                <w:szCs w:val="20"/>
              </w:rPr>
            </w:pPr>
            <w:r w:rsidRPr="00612D54">
              <w:rPr>
                <w:sz w:val="20"/>
                <w:szCs w:val="20"/>
              </w:rPr>
              <w:t>50% платы за твердое топливо (при наличии печного отопления), рассчитанной исходя из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w:t>
            </w:r>
          </w:p>
        </w:tc>
      </w:tr>
      <w:tr w:rsidR="00612D54" w:rsidRPr="00612D54" w:rsidTr="00612D54">
        <w:tc>
          <w:tcPr>
            <w:tcW w:w="5000" w:type="pct"/>
            <w:gridSpan w:val="3"/>
            <w:tcBorders>
              <w:left w:val="single" w:sz="4" w:space="0" w:color="auto"/>
              <w:bottom w:val="single" w:sz="4" w:space="0" w:color="auto"/>
              <w:right w:val="single" w:sz="4" w:space="0" w:color="auto"/>
            </w:tcBorders>
          </w:tcPr>
          <w:p w:rsidR="00612D54" w:rsidRPr="00612D54" w:rsidRDefault="00612D54" w:rsidP="00F80529">
            <w:pPr>
              <w:pStyle w:val="ConsPlusNormal"/>
              <w:jc w:val="both"/>
              <w:rPr>
                <w:sz w:val="20"/>
                <w:szCs w:val="20"/>
              </w:rPr>
            </w:pPr>
            <w:r w:rsidRPr="00612D54">
              <w:rPr>
                <w:sz w:val="20"/>
                <w:szCs w:val="20"/>
              </w:rPr>
              <w:t>(в ред. Закона Амурской области от 17.12.2018 N 299-ОЗ)</w:t>
            </w:r>
          </w:p>
        </w:tc>
      </w:tr>
      <w:tr w:rsidR="00612D54" w:rsidRPr="00612D54" w:rsidTr="00612D54">
        <w:tc>
          <w:tcPr>
            <w:tcW w:w="238" w:type="pct"/>
            <w:tcBorders>
              <w:top w:val="single" w:sz="4" w:space="0" w:color="auto"/>
              <w:left w:val="single" w:sz="4" w:space="0" w:color="auto"/>
              <w:bottom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9.</w:t>
            </w:r>
          </w:p>
        </w:tc>
        <w:tc>
          <w:tcPr>
            <w:tcW w:w="1905" w:type="pct"/>
            <w:tcBorders>
              <w:top w:val="single" w:sz="4" w:space="0" w:color="auto"/>
              <w:left w:val="single" w:sz="4" w:space="0" w:color="auto"/>
              <w:bottom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Почетные доноры Амурской области</w:t>
            </w:r>
          </w:p>
        </w:tc>
        <w:tc>
          <w:tcPr>
            <w:tcW w:w="2857" w:type="pct"/>
            <w:tcBorders>
              <w:top w:val="single" w:sz="4" w:space="0" w:color="auto"/>
              <w:left w:val="single" w:sz="4" w:space="0" w:color="auto"/>
              <w:bottom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700 рублей</w:t>
            </w:r>
          </w:p>
        </w:tc>
      </w:tr>
      <w:tr w:rsidR="00612D54" w:rsidRPr="00612D54" w:rsidTr="00612D54">
        <w:tc>
          <w:tcPr>
            <w:tcW w:w="238"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10.</w:t>
            </w:r>
          </w:p>
        </w:tc>
        <w:tc>
          <w:tcPr>
            <w:tcW w:w="1905"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r w:rsidRPr="00612D54">
              <w:rPr>
                <w:sz w:val="20"/>
                <w:szCs w:val="20"/>
              </w:rPr>
              <w:t xml:space="preserve">Пенсионеры на селе, достигшие возраста 55 лет для женщин и 60 лет для мужчин, из числа граждан, указанных в </w:t>
            </w:r>
            <w:r w:rsidRPr="00612D54">
              <w:rPr>
                <w:sz w:val="20"/>
                <w:szCs w:val="20"/>
              </w:rPr>
              <w:t>подпункте "а" пункта 9</w:t>
            </w:r>
            <w:r w:rsidRPr="00612D54">
              <w:rPr>
                <w:sz w:val="20"/>
                <w:szCs w:val="20"/>
              </w:rPr>
              <w:t xml:space="preserve">, </w:t>
            </w:r>
            <w:r w:rsidRPr="00612D54">
              <w:rPr>
                <w:sz w:val="20"/>
                <w:szCs w:val="20"/>
              </w:rPr>
              <w:t>пункте 10 части 1 статьи 1</w:t>
            </w:r>
            <w:r w:rsidRPr="00612D54">
              <w:rPr>
                <w:sz w:val="20"/>
                <w:szCs w:val="20"/>
              </w:rPr>
              <w:t xml:space="preserve"> настоящего Закона</w:t>
            </w:r>
          </w:p>
        </w:tc>
        <w:tc>
          <w:tcPr>
            <w:tcW w:w="2857" w:type="pct"/>
            <w:tcBorders>
              <w:top w:val="single" w:sz="4" w:space="0" w:color="auto"/>
              <w:left w:val="single" w:sz="4" w:space="0" w:color="auto"/>
              <w:right w:val="single" w:sz="4" w:space="0" w:color="auto"/>
            </w:tcBorders>
          </w:tcPr>
          <w:p w:rsidR="00612D54" w:rsidRPr="00612D54" w:rsidRDefault="00612D54" w:rsidP="00F80529">
            <w:pPr>
              <w:pStyle w:val="ConsPlusNormal"/>
              <w:rPr>
                <w:sz w:val="20"/>
                <w:szCs w:val="20"/>
              </w:rPr>
            </w:pPr>
            <w:proofErr w:type="gramStart"/>
            <w:r w:rsidRPr="00612D54">
              <w:rPr>
                <w:sz w:val="20"/>
                <w:szCs w:val="20"/>
              </w:rPr>
              <w:t>100%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для предоставления мер социальной поддержки и в пределах занимаемой общей площади жилого помещения, не превышающей региональный стандарт нормативной площади жилого помещения более чем на 20 кв. м. При отсутствии указанных приборов учета плата за коммунальные услуги</w:t>
            </w:r>
            <w:proofErr w:type="gramEnd"/>
            <w:r w:rsidRPr="00612D54">
              <w:rPr>
                <w:sz w:val="20"/>
                <w:szCs w:val="20"/>
              </w:rPr>
              <w:t xml:space="preserve"> рассчитывается исходя из нормативов потребления коммунальных услуг для предоставления мер социальной поддержки и в пределах занимаемой общей площади жилого помещения, не превышающей региональный стандарт нормативной площади жилого помещения более чем на 20 кв. м;</w:t>
            </w:r>
          </w:p>
          <w:p w:rsidR="00612D54" w:rsidRPr="00612D54" w:rsidRDefault="00612D54" w:rsidP="00F80529">
            <w:pPr>
              <w:pStyle w:val="ConsPlusNormal"/>
              <w:rPr>
                <w:sz w:val="20"/>
                <w:szCs w:val="20"/>
              </w:rPr>
            </w:pPr>
            <w:r w:rsidRPr="00612D54">
              <w:rPr>
                <w:sz w:val="20"/>
                <w:szCs w:val="20"/>
              </w:rPr>
              <w:t xml:space="preserve">100%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пределах нормативов потребления коммунальных услуг для предоставления </w:t>
            </w:r>
            <w:r w:rsidRPr="00612D54">
              <w:rPr>
                <w:sz w:val="20"/>
                <w:szCs w:val="20"/>
              </w:rPr>
              <w:lastRenderedPageBreak/>
              <w:t>мер социальной поддержки;</w:t>
            </w:r>
          </w:p>
          <w:p w:rsidR="00612D54" w:rsidRPr="00612D54" w:rsidRDefault="00612D54" w:rsidP="00F80529">
            <w:pPr>
              <w:pStyle w:val="ConsPlusNormal"/>
              <w:rPr>
                <w:sz w:val="20"/>
                <w:szCs w:val="20"/>
              </w:rPr>
            </w:pPr>
            <w:r w:rsidRPr="00612D54">
              <w:rPr>
                <w:sz w:val="20"/>
                <w:szCs w:val="20"/>
              </w:rPr>
              <w:t>100% платы за твердое топливо (при наличии печного отопления), рассчитанной исходя из нормативов потребления коммунальных услуг для предоставления мер социальной поддержки и в пределах занимаемой общей площади жилого помещения, не превышающей региональный стандарт нормативной площади жилого помещения более чем на 20 кв. м</w:t>
            </w:r>
          </w:p>
        </w:tc>
      </w:tr>
      <w:tr w:rsidR="00612D54" w:rsidRPr="00612D54" w:rsidTr="00612D54">
        <w:tc>
          <w:tcPr>
            <w:tcW w:w="5000" w:type="pct"/>
            <w:gridSpan w:val="3"/>
            <w:tcBorders>
              <w:left w:val="single" w:sz="4" w:space="0" w:color="auto"/>
              <w:bottom w:val="single" w:sz="4" w:space="0" w:color="auto"/>
              <w:right w:val="single" w:sz="4" w:space="0" w:color="auto"/>
            </w:tcBorders>
          </w:tcPr>
          <w:p w:rsidR="00612D54" w:rsidRPr="00612D54" w:rsidRDefault="00612D54" w:rsidP="00F80529">
            <w:pPr>
              <w:pStyle w:val="ConsPlusNormal"/>
              <w:jc w:val="both"/>
              <w:rPr>
                <w:sz w:val="20"/>
                <w:szCs w:val="20"/>
              </w:rPr>
            </w:pPr>
            <w:r w:rsidRPr="00612D54">
              <w:rPr>
                <w:sz w:val="20"/>
                <w:szCs w:val="20"/>
              </w:rPr>
              <w:lastRenderedPageBreak/>
              <w:t>(в ред. Закона Амурской области от 17.12.2018 N 299-ОЗ)</w:t>
            </w:r>
          </w:p>
        </w:tc>
      </w:tr>
    </w:tbl>
    <w:p w:rsidR="00612D54" w:rsidRDefault="00612D54" w:rsidP="00612D54">
      <w:pPr>
        <w:pStyle w:val="ConsPlusNormal"/>
        <w:ind w:firstLine="540"/>
        <w:jc w:val="both"/>
      </w:pPr>
    </w:p>
    <w:p w:rsidR="00612D54" w:rsidRDefault="00612D54" w:rsidP="00612D54">
      <w:pPr>
        <w:pStyle w:val="ConsPlusNormal"/>
        <w:ind w:firstLine="540"/>
        <w:jc w:val="both"/>
      </w:pPr>
      <w:r>
        <w:t xml:space="preserve">Примечание. 1. </w:t>
      </w:r>
      <w:proofErr w:type="gramStart"/>
      <w:r>
        <w:t>Гражданам, проживающим в жилых помещениях, в которых отсутствует централизованное и печное отопление, оборудованных электроотопительными установками, социальная поддержка по оплате отопления предоставляется в течение отопительного периода, установленного правовыми актами муниципальных образований Амурской области, исходя из норматива потребления электроснабжения на отопление для предоставления мер социальной поддержки, утвержденного Правительством области, а также цен (тарифов) на электрическую энергию для населения.</w:t>
      </w:r>
      <w:proofErr w:type="gramEnd"/>
    </w:p>
    <w:p w:rsidR="00612D54" w:rsidRDefault="00612D54" w:rsidP="00612D54">
      <w:pPr>
        <w:pStyle w:val="ConsPlusNormal"/>
        <w:jc w:val="both"/>
      </w:pPr>
      <w:r>
        <w:t>(в ред. Закона Амурской области от 07.11.2018 N 263-ОЗ)</w:t>
      </w:r>
    </w:p>
    <w:p w:rsidR="00612D54" w:rsidRDefault="00612D54" w:rsidP="00612D54">
      <w:pPr>
        <w:pStyle w:val="ConsPlusNormal"/>
        <w:spacing w:before="240"/>
        <w:ind w:firstLine="540"/>
        <w:jc w:val="both"/>
      </w:pPr>
      <w:r>
        <w:t xml:space="preserve">2. </w:t>
      </w:r>
      <w:proofErr w:type="gramStart"/>
      <w:r>
        <w:t xml:space="preserve">Гражданам, проживающим в жилых помещениях, в которых отсутствует централизованное и печное отопление и имеется автономное отопление жидким топливом, меры социальной поддержки по оплате отопления предоставляются исходя из стоимости твердого топлива, отпускаемого населению </w:t>
      </w:r>
      <w:proofErr w:type="spellStart"/>
      <w:r>
        <w:t>топливоснабжающими</w:t>
      </w:r>
      <w:proofErr w:type="spellEnd"/>
      <w:r>
        <w:t xml:space="preserve"> предприятиями, но не более предельной розничной цены, утверждаемой уполномоченным исполнительным органом государственной власти области, осуществляющим функции в сфере государственного регулирования цен и тарифов, в пределах нормативов потребления</w:t>
      </w:r>
      <w:proofErr w:type="gramEnd"/>
      <w:r>
        <w:t xml:space="preserve"> коммунальных услуг для предоставления мер социальной поддержки, установленных Правительством области.</w:t>
      </w:r>
    </w:p>
    <w:p w:rsidR="00612D54" w:rsidRDefault="00612D54" w:rsidP="00612D54">
      <w:pPr>
        <w:pStyle w:val="ConsPlusNormal"/>
        <w:jc w:val="both"/>
      </w:pPr>
      <w:r>
        <w:t>(в ред. Закона Амурской области от 07.11.2018 N 263-ОЗ)</w:t>
      </w:r>
    </w:p>
    <w:p w:rsidR="0021403E" w:rsidRDefault="0021403E"/>
    <w:sectPr w:rsidR="0021403E" w:rsidSect="00612D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54"/>
    <w:rsid w:val="0021403E"/>
    <w:rsid w:val="0061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D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12D5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D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12D5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2019-02-28T06:17:00Z</dcterms:created>
  <dcterms:modified xsi:type="dcterms:W3CDTF">2019-02-28T06:18:00Z</dcterms:modified>
</cp:coreProperties>
</file>